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2" w:rsidRDefault="00F37F82" w:rsidP="00F37F82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ЦЕНТРАЛЬНЫЙ БАНК РОССИЙСКОЙ ФЕДЕРАЦИИ</w:t>
      </w:r>
    </w:p>
    <w:p w:rsidR="00F37F82" w:rsidRDefault="00F37F82" w:rsidP="00F37F82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ПИСЬМО</w:t>
      </w:r>
    </w:p>
    <w:p w:rsidR="00F37F82" w:rsidRDefault="00F37F82" w:rsidP="00F37F82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bookmarkStart w:id="0" w:name="_GoBack"/>
      <w:r>
        <w:rPr>
          <w:color w:val="343A40"/>
        </w:rPr>
        <w:t>от 11 марта 2022 г. N 02-59-3/1609</w:t>
      </w:r>
    </w:p>
    <w:bookmarkEnd w:id="0"/>
    <w:p w:rsidR="00F37F82" w:rsidRDefault="00F37F82" w:rsidP="00F37F82">
      <w:pPr>
        <w:pStyle w:val="ac"/>
        <w:shd w:val="clear" w:color="auto" w:fill="F8F9FA"/>
        <w:spacing w:before="150" w:beforeAutospacing="0" w:after="150" w:afterAutospacing="0" w:line="390" w:lineRule="atLeast"/>
        <w:jc w:val="center"/>
        <w:rPr>
          <w:color w:val="343A40"/>
        </w:rPr>
      </w:pPr>
      <w:r>
        <w:rPr>
          <w:color w:val="343A40"/>
        </w:rPr>
        <w:t>О НАПРАВЛЕНИИ РЕКОМЕНДАЦИЙ</w:t>
      </w:r>
    </w:p>
    <w:p w:rsidR="00F37F82" w:rsidRDefault="00F37F82" w:rsidP="00F37F82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Банк России в целях недопущения возникновения у граждан - заемщиков по ипотечным кредитам сложностей при получении имущественного налогового вычета в сумме фактических расходов на погашение процентов по ипотечным кредитам для рефинансирования ранее предоставленных ипотечных кредитов на цели приобретения либо строительства на территории Российской Федерации объектов недвижимости информирует кредитные организации о следующем.</w:t>
      </w:r>
    </w:p>
    <w:p w:rsidR="00F37F82" w:rsidRDefault="00F37F82" w:rsidP="00F37F82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proofErr w:type="gramStart"/>
      <w:r>
        <w:rPr>
          <w:color w:val="343A40"/>
        </w:rPr>
        <w:t>Как следует из разъяснений &lt;1&gt;, представленных Федеральной налоговой службой (ФНС</w:t>
      </w:r>
      <w:proofErr w:type="gramEnd"/>
      <w:r>
        <w:rPr>
          <w:color w:val="343A40"/>
        </w:rPr>
        <w:t xml:space="preserve"> </w:t>
      </w:r>
      <w:proofErr w:type="gramStart"/>
      <w:r>
        <w:rPr>
          <w:color w:val="343A40"/>
        </w:rPr>
        <w:t>России), подпунктом 4 пункта 1 статьи 220 Налогового кодекса Российской Федерации (далее - Кодекс) установлено, что при определении размера налоговых баз в соответствии с пунктом 3 или 6 статьи 210 Кодекса налогоплательщик имеет право на получение имущественного налогового вычета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</w:t>
      </w:r>
      <w:proofErr w:type="gramEnd"/>
      <w:r>
        <w:rPr>
          <w:color w:val="343A40"/>
        </w:rPr>
        <w:t xml:space="preserve"> </w:t>
      </w:r>
      <w:proofErr w:type="gramStart"/>
      <w:r>
        <w:rPr>
          <w:color w:val="343A40"/>
        </w:rPr>
        <w:t>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а также на погашение процентов по кредитам (займам), полученным от банков (либо организаций, если такие займы выданы</w:t>
      </w:r>
      <w:proofErr w:type="gramEnd"/>
      <w:r>
        <w:rPr>
          <w:color w:val="343A40"/>
        </w:rPr>
        <w:t xml:space="preserve"> </w:t>
      </w:r>
      <w:proofErr w:type="gramStart"/>
      <w:r>
        <w:rPr>
          <w:color w:val="343A40"/>
        </w:rPr>
        <w:t>в соответствии с программами помощи отдельным категориям заемщиков по ипотечным жилищным кредитам (займам), оказавшимся в сложной финансовой ситуации, утверждаемыми Правительством Российской Федерации) в целях рефинансирования (</w:t>
      </w:r>
      <w:proofErr w:type="spellStart"/>
      <w:r>
        <w:rPr>
          <w:color w:val="343A40"/>
        </w:rPr>
        <w:t>перекредитования</w:t>
      </w:r>
      <w:proofErr w:type="spellEnd"/>
      <w:r>
        <w:rPr>
          <w:color w:val="343A40"/>
        </w:rPr>
        <w:t>) кредитов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</w:t>
      </w:r>
      <w:proofErr w:type="gramEnd"/>
      <w:r>
        <w:rPr>
          <w:color w:val="343A40"/>
        </w:rPr>
        <w:t xml:space="preserve"> участков или доли (долей) в них, на которых расположены приобретаемые жилые дома или доля (доли) в них.</w:t>
      </w:r>
    </w:p>
    <w:p w:rsidR="00F37F82" w:rsidRDefault="00F37F82" w:rsidP="00F37F82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--------------------------------</w:t>
      </w:r>
    </w:p>
    <w:p w:rsidR="00F37F82" w:rsidRDefault="00F37F82" w:rsidP="00F37F82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lastRenderedPageBreak/>
        <w:t>&lt;1&gt; Письмо Федеральной налоговой службы России N 11-1-04/0001@ от 13.01.2022 "О рассмотрении обращения", направленное в адрес АО "ДОМ</w:t>
      </w:r>
      <w:proofErr w:type="gramStart"/>
      <w:r>
        <w:rPr>
          <w:color w:val="343A40"/>
        </w:rPr>
        <w:t>.Р</w:t>
      </w:r>
      <w:proofErr w:type="gramEnd"/>
      <w:r>
        <w:rPr>
          <w:color w:val="343A40"/>
        </w:rPr>
        <w:t>Ф" по запросу N 16858-АН от 23.12.2021</w:t>
      </w:r>
    </w:p>
    <w:p w:rsidR="00F37F82" w:rsidRDefault="00F37F82" w:rsidP="00F37F82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>Федеральная налоговая служба (ФНС России) обращает внимание на то, что в кредитном договоре, заключенном в целях рефинансирования ипотечного кредита, необходимо указывать ссылки на первоначальный ипотечный кредит, а также на кредит (кредиты), предоставленный (предоставленные) ранее в целях его рефинансирования.</w:t>
      </w:r>
    </w:p>
    <w:p w:rsidR="00F37F82" w:rsidRDefault="00F37F82" w:rsidP="00F37F82">
      <w:pPr>
        <w:pStyle w:val="aj"/>
        <w:shd w:val="clear" w:color="auto" w:fill="F8F9FA"/>
        <w:spacing w:line="390" w:lineRule="atLeast"/>
        <w:jc w:val="both"/>
        <w:rPr>
          <w:color w:val="343A40"/>
        </w:rPr>
      </w:pPr>
      <w:r>
        <w:rPr>
          <w:color w:val="343A40"/>
        </w:rPr>
        <w:t xml:space="preserve">С учетом </w:t>
      </w:r>
      <w:proofErr w:type="gramStart"/>
      <w:r>
        <w:rPr>
          <w:color w:val="343A40"/>
        </w:rPr>
        <w:t>изложенного</w:t>
      </w:r>
      <w:proofErr w:type="gramEnd"/>
      <w:r>
        <w:rPr>
          <w:color w:val="343A40"/>
        </w:rPr>
        <w:t xml:space="preserve">, Банк России рекомендует кредитным организациям и </w:t>
      </w:r>
      <w:proofErr w:type="spellStart"/>
      <w:r>
        <w:rPr>
          <w:color w:val="343A40"/>
        </w:rPr>
        <w:t>некредитным</w:t>
      </w:r>
      <w:proofErr w:type="spellEnd"/>
      <w:r>
        <w:rPr>
          <w:color w:val="343A40"/>
        </w:rPr>
        <w:t xml:space="preserve"> финансовым организациям при рефинансировании ипотечных кредитов руководствоваться разъяснениями Федеральной налоговой службы (ФНС России), приведенными в настоящем письме.</w:t>
      </w:r>
    </w:p>
    <w:p w:rsidR="00F37F82" w:rsidRDefault="00F37F82" w:rsidP="00F37F82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Первый заместитель</w:t>
      </w:r>
    </w:p>
    <w:p w:rsidR="00F37F82" w:rsidRDefault="00F37F82" w:rsidP="00F37F82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Председателя Банка России</w:t>
      </w:r>
    </w:p>
    <w:p w:rsidR="00F37F82" w:rsidRDefault="00F37F82" w:rsidP="00F37F82">
      <w:pPr>
        <w:pStyle w:val="ar"/>
        <w:shd w:val="clear" w:color="auto" w:fill="F8F9FA"/>
        <w:spacing w:line="390" w:lineRule="atLeast"/>
        <w:jc w:val="right"/>
        <w:rPr>
          <w:color w:val="343A40"/>
        </w:rPr>
      </w:pPr>
      <w:r>
        <w:rPr>
          <w:color w:val="343A40"/>
        </w:rPr>
        <w:t>В.В.ЧИСТЮХИН</w:t>
      </w:r>
    </w:p>
    <w:p w:rsidR="00AC27C5" w:rsidRDefault="00AC27C5"/>
    <w:sectPr w:rsidR="00AC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BE"/>
    <w:rsid w:val="000725BE"/>
    <w:rsid w:val="007F67E7"/>
    <w:rsid w:val="00AC27C5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F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F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F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F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F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F3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Hewlett-Packard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2022-03-23T04:30:00Z</dcterms:created>
  <dcterms:modified xsi:type="dcterms:W3CDTF">2022-03-23T04:30:00Z</dcterms:modified>
</cp:coreProperties>
</file>